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C7" w:rsidRDefault="006F3EC7" w:rsidP="006F3EC7">
      <w:pPr>
        <w:ind w:left="72" w:right="64"/>
        <w:jc w:val="center"/>
        <w:rPr>
          <w:rFonts w:ascii="Arial" w:hAnsi="Arial" w:cs="Arial"/>
          <w:b/>
          <w:bCs/>
          <w:sz w:val="18"/>
          <w:szCs w:val="18"/>
          <w:u w:val="single"/>
        </w:rPr>
      </w:pPr>
      <w:r>
        <w:rPr>
          <w:rFonts w:ascii="Arial" w:hAnsi="Arial" w:cs="Arial"/>
          <w:b/>
          <w:bCs/>
          <w:noProof/>
          <w:sz w:val="18"/>
          <w:szCs w:val="18"/>
          <w:u w:val="single"/>
          <w:lang w:eastAsia="pt-BR"/>
        </w:rPr>
        <w:drawing>
          <wp:inline distT="0" distB="0" distL="0" distR="0">
            <wp:extent cx="1121410" cy="954405"/>
            <wp:effectExtent l="1905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49" t="-56" r="-49" b="-56"/>
                    <a:stretch>
                      <a:fillRect/>
                    </a:stretch>
                  </pic:blipFill>
                  <pic:spPr bwMode="auto">
                    <a:xfrm>
                      <a:off x="0" y="0"/>
                      <a:ext cx="1121410" cy="954405"/>
                    </a:xfrm>
                    <a:prstGeom prst="rect">
                      <a:avLst/>
                    </a:prstGeom>
                    <a:solidFill>
                      <a:srgbClr val="FFFFFF">
                        <a:alpha val="0"/>
                      </a:srgbClr>
                    </a:solidFill>
                    <a:ln w="9525">
                      <a:noFill/>
                      <a:miter lim="800000"/>
                      <a:headEnd/>
                      <a:tailEnd/>
                    </a:ln>
                  </pic:spPr>
                </pic:pic>
              </a:graphicData>
            </a:graphic>
          </wp:inline>
        </w:drawing>
      </w:r>
    </w:p>
    <w:p w:rsidR="006F3EC7" w:rsidRDefault="006F3EC7" w:rsidP="006F3EC7">
      <w:pPr>
        <w:ind w:left="72" w:right="64"/>
        <w:jc w:val="center"/>
        <w:rPr>
          <w:rFonts w:ascii="Arial" w:hAnsi="Arial" w:cs="Arial"/>
          <w:b/>
          <w:bCs/>
          <w:sz w:val="18"/>
          <w:szCs w:val="18"/>
          <w:u w:val="single"/>
        </w:rPr>
      </w:pPr>
    </w:p>
    <w:p w:rsidR="006F3EC7" w:rsidRPr="00B618EA" w:rsidRDefault="006F3EC7" w:rsidP="006F3EC7">
      <w:pPr>
        <w:ind w:left="72" w:right="64"/>
        <w:jc w:val="center"/>
        <w:rPr>
          <w:sz w:val="18"/>
          <w:szCs w:val="18"/>
        </w:rPr>
      </w:pPr>
      <w:r w:rsidRPr="00B618EA">
        <w:rPr>
          <w:b/>
          <w:bCs/>
          <w:sz w:val="18"/>
          <w:szCs w:val="18"/>
        </w:rPr>
        <w:t>AVISO DE EDITAL</w:t>
      </w:r>
    </w:p>
    <w:p w:rsidR="006F3EC7" w:rsidRPr="00B618EA" w:rsidRDefault="006F3EC7" w:rsidP="006F3EC7">
      <w:pPr>
        <w:pStyle w:val="Ttulo5"/>
        <w:numPr>
          <w:ilvl w:val="4"/>
          <w:numId w:val="1"/>
        </w:numPr>
        <w:ind w:left="72" w:right="64"/>
        <w:rPr>
          <w:rFonts w:ascii="Times New Roman" w:hAnsi="Times New Roman" w:cs="Times New Roman"/>
          <w:sz w:val="18"/>
          <w:szCs w:val="18"/>
          <w:u w:val="none"/>
        </w:rPr>
      </w:pPr>
      <w:r w:rsidRPr="00B618EA">
        <w:rPr>
          <w:rFonts w:ascii="Times New Roman" w:hAnsi="Times New Roman" w:cs="Times New Roman"/>
          <w:sz w:val="18"/>
          <w:szCs w:val="18"/>
          <w:u w:val="none"/>
        </w:rPr>
        <w:t xml:space="preserve">PREGÃO </w:t>
      </w:r>
      <w:r w:rsidRPr="00B618EA">
        <w:rPr>
          <w:rFonts w:ascii="Times New Roman" w:hAnsi="Times New Roman" w:cs="Times New Roman"/>
          <w:color w:val="000000"/>
          <w:sz w:val="18"/>
          <w:szCs w:val="18"/>
          <w:u w:val="none"/>
        </w:rPr>
        <w:t>ELETRONICO Nº 009/2022/SEMED</w:t>
      </w:r>
    </w:p>
    <w:p w:rsidR="006F3EC7" w:rsidRPr="00B618EA" w:rsidRDefault="006F3EC7" w:rsidP="006F3EC7">
      <w:pPr>
        <w:pStyle w:val="Ttulo5"/>
        <w:numPr>
          <w:ilvl w:val="4"/>
          <w:numId w:val="1"/>
        </w:numPr>
        <w:ind w:left="72" w:right="64"/>
        <w:rPr>
          <w:rFonts w:ascii="Times New Roman" w:hAnsi="Times New Roman" w:cs="Times New Roman"/>
          <w:sz w:val="18"/>
          <w:szCs w:val="18"/>
          <w:u w:val="none"/>
        </w:rPr>
      </w:pPr>
      <w:r w:rsidRPr="00B618EA">
        <w:rPr>
          <w:rFonts w:ascii="Times New Roman" w:hAnsi="Times New Roman" w:cs="Times New Roman"/>
          <w:sz w:val="18"/>
          <w:szCs w:val="18"/>
          <w:u w:val="none"/>
        </w:rPr>
        <w:t>Exclusivo ME/EPP</w:t>
      </w:r>
    </w:p>
    <w:p w:rsidR="006F3EC7" w:rsidRPr="005E53AB" w:rsidRDefault="006F3EC7" w:rsidP="006F3EC7">
      <w:pPr>
        <w:pStyle w:val="Ttulo5"/>
        <w:numPr>
          <w:ilvl w:val="4"/>
          <w:numId w:val="1"/>
        </w:numPr>
        <w:ind w:right="64"/>
        <w:rPr>
          <w:rFonts w:ascii="Times New Roman" w:hAnsi="Times New Roman" w:cs="Times New Roman"/>
          <w:sz w:val="18"/>
          <w:szCs w:val="18"/>
        </w:rPr>
      </w:pPr>
      <w:r w:rsidRPr="005E53AB">
        <w:rPr>
          <w:rFonts w:ascii="Times New Roman" w:eastAsia="Arial" w:hAnsi="Times New Roman" w:cs="Times New Roman"/>
          <w:color w:val="000000"/>
          <w:sz w:val="18"/>
          <w:szCs w:val="18"/>
        </w:rPr>
        <w:t xml:space="preserve">                       </w:t>
      </w:r>
    </w:p>
    <w:p w:rsidR="006F3EC7" w:rsidRPr="005E53AB" w:rsidRDefault="006F3EC7" w:rsidP="006F3EC7">
      <w:pPr>
        <w:pStyle w:val="Ttulo5"/>
        <w:numPr>
          <w:ilvl w:val="4"/>
          <w:numId w:val="1"/>
        </w:numPr>
        <w:ind w:right="64"/>
        <w:rPr>
          <w:rFonts w:ascii="Times New Roman" w:hAnsi="Times New Roman" w:cs="Times New Roman"/>
          <w:sz w:val="18"/>
          <w:szCs w:val="18"/>
        </w:rPr>
      </w:pPr>
      <w:r w:rsidRPr="005E53AB">
        <w:rPr>
          <w:rFonts w:ascii="Times New Roman" w:eastAsia="Arial" w:hAnsi="Times New Roman" w:cs="Times New Roman"/>
          <w:color w:val="000000"/>
          <w:sz w:val="18"/>
          <w:szCs w:val="18"/>
        </w:rPr>
        <w:t xml:space="preserve">           </w:t>
      </w:r>
    </w:p>
    <w:p w:rsidR="005E53AB" w:rsidRPr="005E53AB" w:rsidRDefault="005E53AB" w:rsidP="005E53AB">
      <w:pPr>
        <w:pStyle w:val="PargrafodaLista"/>
        <w:numPr>
          <w:ilvl w:val="0"/>
          <w:numId w:val="1"/>
        </w:numPr>
        <w:jc w:val="both"/>
        <w:rPr>
          <w:sz w:val="18"/>
          <w:szCs w:val="18"/>
        </w:rPr>
      </w:pPr>
      <w:r w:rsidRPr="005E53AB">
        <w:rPr>
          <w:sz w:val="18"/>
          <w:szCs w:val="18"/>
        </w:rPr>
        <w:t xml:space="preserve">O MUNICÍPIO DE NOSSA SENHORA DO SOCORRO/SE, através de sua Pregoeira a senhora Maria de Fátima Alves da Silva, Portaria nº. 29 de 04 de janeiro de 2022, torna público para conhecimento de quem possa interessar que no site www.licitanet.com.br, receberá, por meio eletrônico, as propostas relativas ao Pregão Eletrônico nº 009/2022/SEMED que tem como objeto a </w:t>
      </w:r>
      <w:r w:rsidRPr="005E53AB">
        <w:rPr>
          <w:b/>
          <w:sz w:val="18"/>
          <w:szCs w:val="18"/>
        </w:rPr>
        <w:t>AQUISIÇÃO DE BRINQUEDOS PEDAGÓGICOS, EM CUMPRIMENTO DO TERMO DE COMPROMISSO PAR Nº 202001780-8, FIRMADO COM O FUNDO NACIONAL DE DESENVOLVIMENTO DA EDUCAÇÃO (FNDE), A FIM DE ATENDER AS NECESSIDADES DAS CRECHES E ESCOLAS, ASSISTIDAS PELA SECRETARIA DE EDUCAÇÃO DO MUNICÍPIO DE NOSSA SENHORA DO SOCORRO/SE</w:t>
      </w:r>
      <w:r w:rsidRPr="005E53AB">
        <w:rPr>
          <w:sz w:val="18"/>
          <w:szCs w:val="18"/>
        </w:rPr>
        <w:t>,</w:t>
      </w:r>
      <w:proofErr w:type="gramStart"/>
      <w:r w:rsidRPr="005E53AB">
        <w:rPr>
          <w:sz w:val="18"/>
          <w:szCs w:val="18"/>
        </w:rPr>
        <w:t xml:space="preserve">  </w:t>
      </w:r>
      <w:proofErr w:type="gramEnd"/>
      <w:r w:rsidRPr="005E53AB">
        <w:rPr>
          <w:sz w:val="18"/>
          <w:szCs w:val="18"/>
        </w:rPr>
        <w:t xml:space="preserve">ABERTURA DAS PROPOSTAS: às 09h:00min do dia 04/01/2023 (Quatro de janeiro de dois mil e vinte e três)  - horário de Brasília; INÍCIO DA SESSÃO DE DISPUTA DE PREÇOS: às 09h:30min do dia 04/01/2022 (Quatro de janeiro de dois mil e vinte e três) - horário de Brasília; TIPO DE LICITAÇÃO: Menor Preço Unitário; REGIME DE EXECUÇÃO: Preços Unitários; PARECER JURIDICO: 1188/2022-PGM; UNID. ORÇAMENTÁRIA: 48000 – Secretaria Municipal de Educação. FUNCIONAL PROGRAMÁTICA: </w:t>
      </w:r>
      <w:r w:rsidRPr="005E53AB">
        <w:rPr>
          <w:bCs/>
          <w:sz w:val="18"/>
          <w:szCs w:val="18"/>
        </w:rPr>
        <w:t>2201; 2214; 2202 e 2278.</w:t>
      </w:r>
      <w:r w:rsidRPr="005E53AB">
        <w:rPr>
          <w:sz w:val="18"/>
          <w:szCs w:val="18"/>
        </w:rPr>
        <w:t xml:space="preserve"> ELEMENTO DE DESPESA: 3390.30.00 e 4490.52.00. FONTES DE RECURSOS: 1500.1001 – Identificação das Despesas com Manutenção e Desenvolvimento do </w:t>
      </w:r>
      <w:proofErr w:type="gramStart"/>
      <w:r w:rsidRPr="005E53AB">
        <w:rPr>
          <w:sz w:val="18"/>
          <w:szCs w:val="18"/>
        </w:rPr>
        <w:t>Ensino;</w:t>
      </w:r>
      <w:proofErr w:type="gramEnd"/>
      <w:r w:rsidRPr="005E53AB">
        <w:rPr>
          <w:sz w:val="18"/>
          <w:szCs w:val="18"/>
        </w:rPr>
        <w:t xml:space="preserve">1540.0000 – Transferência do FUNDEB – Impostos e Transferências de Impostos; 1569.0000 – Outras Transferências de Recursos do FNDE;1550.0000 – Transferência do Salário – Educação.BASE LEGAL: Lei nº 10.520/2002; Lei nº 8.666/93, LC nº 123/06, c/c com a LC nº 147/14, Decretos Municipais </w:t>
      </w:r>
      <w:proofErr w:type="spellStart"/>
      <w:r w:rsidRPr="005E53AB">
        <w:rPr>
          <w:sz w:val="18"/>
          <w:szCs w:val="18"/>
        </w:rPr>
        <w:t>n°s</w:t>
      </w:r>
      <w:proofErr w:type="spellEnd"/>
      <w:r w:rsidRPr="005E53AB">
        <w:rPr>
          <w:sz w:val="18"/>
          <w:szCs w:val="18"/>
        </w:rPr>
        <w:t xml:space="preserve"> 509/2007, 16.613/2018, 17.350/18, 19.274/2019 e 19.768/2020. Edital e</w:t>
      </w:r>
      <w:proofErr w:type="gramStart"/>
      <w:r w:rsidRPr="005E53AB">
        <w:rPr>
          <w:sz w:val="18"/>
          <w:szCs w:val="18"/>
        </w:rPr>
        <w:t xml:space="preserve">  </w:t>
      </w:r>
      <w:proofErr w:type="gramEnd"/>
      <w:r w:rsidRPr="005E53AB">
        <w:rPr>
          <w:sz w:val="18"/>
          <w:szCs w:val="18"/>
        </w:rPr>
        <w:t xml:space="preserve">anexos disponíveis nos sites www.licitanet.com.br e </w:t>
      </w:r>
      <w:hyperlink r:id="rId6" w:history="1">
        <w:r w:rsidRPr="005E53AB">
          <w:rPr>
            <w:sz w:val="18"/>
            <w:szCs w:val="18"/>
          </w:rPr>
          <w:t>www.socorro.se.gov.br</w:t>
        </w:r>
      </w:hyperlink>
      <w:r w:rsidRPr="005E53AB">
        <w:rPr>
          <w:sz w:val="18"/>
          <w:szCs w:val="18"/>
        </w:rPr>
        <w:t xml:space="preserve">. Informações na sala da Comissão de Licitação, à Rua Antônio Valadão, s/n – Centro Administrativo José do Prado Franco, N. </w:t>
      </w:r>
      <w:proofErr w:type="gramStart"/>
      <w:r w:rsidRPr="005E53AB">
        <w:rPr>
          <w:sz w:val="18"/>
          <w:szCs w:val="18"/>
        </w:rPr>
        <w:t>Sra.</w:t>
      </w:r>
      <w:proofErr w:type="gramEnd"/>
      <w:r w:rsidRPr="005E53AB">
        <w:rPr>
          <w:sz w:val="18"/>
          <w:szCs w:val="18"/>
        </w:rPr>
        <w:t xml:space="preserve"> do Socorro/SE- CEP 49160-000, em dias de expediente, no horário das 08:00h às 14:00h, pelos telefones: (79) 2107-7823 ou através do e-mail: licitacao.eletro@gmail.com.</w:t>
      </w:r>
    </w:p>
    <w:p w:rsidR="006F3EC7" w:rsidRPr="005E53AB" w:rsidRDefault="006F3EC7" w:rsidP="006F3EC7">
      <w:pPr>
        <w:autoSpaceDE w:val="0"/>
        <w:ind w:left="74" w:right="64"/>
        <w:jc w:val="both"/>
        <w:rPr>
          <w:color w:val="000000"/>
          <w:sz w:val="18"/>
          <w:szCs w:val="18"/>
        </w:rPr>
      </w:pPr>
      <w:r w:rsidRPr="005E53AB">
        <w:rPr>
          <w:color w:val="000000"/>
          <w:sz w:val="18"/>
          <w:szCs w:val="18"/>
        </w:rPr>
        <w:t xml:space="preserve"> </w:t>
      </w:r>
    </w:p>
    <w:p w:rsidR="006F3EC7" w:rsidRPr="005E53AB" w:rsidRDefault="006F3EC7" w:rsidP="006F3EC7">
      <w:pPr>
        <w:autoSpaceDE w:val="0"/>
        <w:ind w:left="74" w:right="64"/>
        <w:jc w:val="center"/>
        <w:rPr>
          <w:sz w:val="18"/>
          <w:szCs w:val="18"/>
        </w:rPr>
      </w:pPr>
      <w:r w:rsidRPr="005E53AB">
        <w:rPr>
          <w:sz w:val="18"/>
          <w:szCs w:val="18"/>
          <w:lang w:eastAsia="ar-SA"/>
        </w:rPr>
        <w:t>Nossa Senhora do Socorro/SE, 19 de dezembro de 2022.</w:t>
      </w:r>
    </w:p>
    <w:p w:rsidR="006F3EC7" w:rsidRPr="005E53AB" w:rsidRDefault="006F3EC7" w:rsidP="006F3EC7">
      <w:pPr>
        <w:autoSpaceDE w:val="0"/>
        <w:ind w:left="74" w:right="64"/>
        <w:jc w:val="both"/>
        <w:rPr>
          <w:color w:val="000000"/>
          <w:sz w:val="18"/>
          <w:szCs w:val="18"/>
          <w:lang w:eastAsia="ar-SA"/>
        </w:rPr>
      </w:pPr>
    </w:p>
    <w:p w:rsidR="006F3EC7" w:rsidRPr="005E53AB" w:rsidRDefault="006F3EC7" w:rsidP="006F3EC7">
      <w:pPr>
        <w:autoSpaceDE w:val="0"/>
        <w:ind w:left="74" w:right="64"/>
        <w:jc w:val="both"/>
        <w:rPr>
          <w:color w:val="FF0000"/>
          <w:sz w:val="18"/>
          <w:szCs w:val="18"/>
        </w:rPr>
      </w:pPr>
    </w:p>
    <w:p w:rsidR="006F3EC7" w:rsidRPr="005E53AB" w:rsidRDefault="006F3EC7" w:rsidP="006F3EC7">
      <w:pPr>
        <w:autoSpaceDE w:val="0"/>
        <w:ind w:left="74" w:right="64"/>
        <w:jc w:val="center"/>
        <w:rPr>
          <w:sz w:val="18"/>
          <w:szCs w:val="18"/>
        </w:rPr>
      </w:pPr>
      <w:r w:rsidRPr="005E53AB">
        <w:rPr>
          <w:b/>
          <w:color w:val="000000"/>
          <w:sz w:val="18"/>
          <w:szCs w:val="18"/>
        </w:rPr>
        <w:t>Maria de Fátima Alves da Silva</w:t>
      </w:r>
    </w:p>
    <w:p w:rsidR="006F3EC7" w:rsidRPr="005E53AB" w:rsidRDefault="006F3EC7" w:rsidP="006F3EC7">
      <w:pPr>
        <w:autoSpaceDE w:val="0"/>
        <w:ind w:left="74" w:right="64"/>
        <w:jc w:val="center"/>
        <w:rPr>
          <w:sz w:val="18"/>
          <w:szCs w:val="18"/>
        </w:rPr>
      </w:pPr>
      <w:r w:rsidRPr="005E53AB">
        <w:rPr>
          <w:color w:val="000000"/>
          <w:sz w:val="18"/>
          <w:szCs w:val="18"/>
        </w:rPr>
        <w:t>Pregoeira/PMNSS</w:t>
      </w:r>
    </w:p>
    <w:p w:rsidR="006C75D5" w:rsidRDefault="00B618EA"/>
    <w:sectPr w:rsidR="006C75D5" w:rsidSect="00E6222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D33E7D"/>
    <w:multiLevelType w:val="multilevel"/>
    <w:tmpl w:val="E938C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F3EC7"/>
    <w:rsid w:val="00180E51"/>
    <w:rsid w:val="00341772"/>
    <w:rsid w:val="00450A47"/>
    <w:rsid w:val="004C5423"/>
    <w:rsid w:val="005103BA"/>
    <w:rsid w:val="00562516"/>
    <w:rsid w:val="005E53AB"/>
    <w:rsid w:val="006F3EC7"/>
    <w:rsid w:val="00A35F6B"/>
    <w:rsid w:val="00B618EA"/>
    <w:rsid w:val="00BF7CB6"/>
    <w:rsid w:val="00C84B19"/>
    <w:rsid w:val="00E62221"/>
    <w:rsid w:val="00F51BA9"/>
    <w:rsid w:val="00FC09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EC7"/>
    <w:pPr>
      <w:suppressAutoHyphens/>
      <w:spacing w:after="0"/>
      <w:jc w:val="left"/>
    </w:pPr>
    <w:rPr>
      <w:rFonts w:ascii="Times New Roman" w:eastAsia="Times New Roman" w:hAnsi="Times New Roman" w:cs="Times New Roman"/>
      <w:sz w:val="24"/>
      <w:szCs w:val="24"/>
      <w:lang w:eastAsia="zh-CN"/>
    </w:rPr>
  </w:style>
  <w:style w:type="paragraph" w:styleId="Ttulo5">
    <w:name w:val="heading 5"/>
    <w:basedOn w:val="Normal"/>
    <w:next w:val="Normal"/>
    <w:link w:val="Ttulo5Char"/>
    <w:semiHidden/>
    <w:unhideWhenUsed/>
    <w:qFormat/>
    <w:rsid w:val="006F3EC7"/>
    <w:pPr>
      <w:keepNext/>
      <w:numPr>
        <w:ilvl w:val="4"/>
        <w:numId w:val="2"/>
      </w:numPr>
      <w:jc w:val="center"/>
      <w:outlineLvl w:val="4"/>
    </w:pPr>
    <w:rPr>
      <w:rFonts w:ascii="Trebuchet MS" w:hAnsi="Trebuchet MS" w:cs="Trebuchet MS"/>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semiHidden/>
    <w:rsid w:val="006F3EC7"/>
    <w:rPr>
      <w:rFonts w:ascii="Trebuchet MS" w:eastAsia="Times New Roman" w:hAnsi="Trebuchet MS" w:cs="Trebuchet MS"/>
      <w:b/>
      <w:bCs/>
      <w:sz w:val="24"/>
      <w:szCs w:val="24"/>
      <w:u w:val="single"/>
      <w:lang w:eastAsia="zh-CN"/>
    </w:rPr>
  </w:style>
  <w:style w:type="character" w:styleId="Hyperlink">
    <w:name w:val="Hyperlink"/>
    <w:semiHidden/>
    <w:unhideWhenUsed/>
    <w:rsid w:val="006F3EC7"/>
    <w:rPr>
      <w:color w:val="0000FF"/>
      <w:u w:val="single"/>
    </w:rPr>
  </w:style>
  <w:style w:type="paragraph" w:customStyle="1" w:styleId="Corpo">
    <w:name w:val="Corpo"/>
    <w:rsid w:val="006F3EC7"/>
    <w:pPr>
      <w:suppressAutoHyphens/>
      <w:autoSpaceDE w:val="0"/>
      <w:spacing w:after="0"/>
      <w:jc w:val="left"/>
    </w:pPr>
    <w:rPr>
      <w:rFonts w:ascii="Times New Roman" w:eastAsia="Times New Roman" w:hAnsi="Times New Roman" w:cs="Times New Roman"/>
      <w:color w:val="000000"/>
      <w:sz w:val="20"/>
      <w:szCs w:val="20"/>
      <w:lang w:eastAsia="zh-CN"/>
    </w:rPr>
  </w:style>
  <w:style w:type="paragraph" w:styleId="Textodebalo">
    <w:name w:val="Balloon Text"/>
    <w:basedOn w:val="Normal"/>
    <w:link w:val="TextodebaloChar"/>
    <w:uiPriority w:val="99"/>
    <w:semiHidden/>
    <w:unhideWhenUsed/>
    <w:rsid w:val="006F3EC7"/>
    <w:rPr>
      <w:rFonts w:ascii="Tahoma" w:hAnsi="Tahoma" w:cs="Tahoma"/>
      <w:sz w:val="16"/>
      <w:szCs w:val="16"/>
    </w:rPr>
  </w:style>
  <w:style w:type="character" w:customStyle="1" w:styleId="TextodebaloChar">
    <w:name w:val="Texto de balão Char"/>
    <w:basedOn w:val="Fontepargpadro"/>
    <w:link w:val="Textodebalo"/>
    <w:uiPriority w:val="99"/>
    <w:semiHidden/>
    <w:rsid w:val="006F3EC7"/>
    <w:rPr>
      <w:rFonts w:ascii="Tahoma" w:eastAsia="Times New Roman" w:hAnsi="Tahoma" w:cs="Tahoma"/>
      <w:sz w:val="16"/>
      <w:szCs w:val="16"/>
      <w:lang w:eastAsia="zh-CN"/>
    </w:rPr>
  </w:style>
  <w:style w:type="paragraph" w:styleId="PargrafodaLista">
    <w:name w:val="List Paragraph"/>
    <w:basedOn w:val="Normal"/>
    <w:uiPriority w:val="34"/>
    <w:qFormat/>
    <w:rsid w:val="005E53AB"/>
    <w:pPr>
      <w:ind w:left="720"/>
      <w:contextualSpacing/>
    </w:pPr>
  </w:style>
</w:styles>
</file>

<file path=word/webSettings.xml><?xml version="1.0" encoding="utf-8"?>
<w:webSettings xmlns:r="http://schemas.openxmlformats.org/officeDocument/2006/relationships" xmlns:w="http://schemas.openxmlformats.org/wordprocessingml/2006/main">
  <w:divs>
    <w:div w:id="183240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orro.se.gov.b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357</Words>
  <Characters>1934</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licitacao</cp:lastModifiedBy>
  <cp:revision>4</cp:revision>
  <dcterms:created xsi:type="dcterms:W3CDTF">2022-12-19T16:43:00Z</dcterms:created>
  <dcterms:modified xsi:type="dcterms:W3CDTF">2022-12-20T14:22:00Z</dcterms:modified>
</cp:coreProperties>
</file>